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29F" w:rsidRDefault="00D8429F" w:rsidP="00D8429F">
      <w:pPr>
        <w:pStyle w:val="Default"/>
        <w:rPr>
          <w:sz w:val="48"/>
          <w:szCs w:val="48"/>
        </w:rPr>
      </w:pPr>
      <w:r>
        <w:rPr>
          <w:sz w:val="48"/>
          <w:szCs w:val="48"/>
        </w:rPr>
        <w:t xml:space="preserve">Rashes and Skin Infections </w:t>
      </w:r>
    </w:p>
    <w:p w:rsidR="00D8429F" w:rsidRDefault="00D8429F" w:rsidP="00D8429F">
      <w:pPr>
        <w:pStyle w:val="Default"/>
      </w:pPr>
      <w:r w:rsidRPr="00D8429F">
        <w:t>Children with rashes should be considered infectious and assessed by their doctor</w:t>
      </w:r>
      <w:r>
        <w:t>.</w:t>
      </w:r>
    </w:p>
    <w:p w:rsidR="00D8429F" w:rsidRPr="00D8429F" w:rsidRDefault="00D8429F" w:rsidP="00D8429F">
      <w:pPr>
        <w:pStyle w:val="Default"/>
      </w:pPr>
    </w:p>
    <w:tbl>
      <w:tblPr>
        <w:tblpPr w:leftFromText="180" w:rightFromText="180" w:vertAnchor="page" w:horzAnchor="margin" w:tblpY="1711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27"/>
        <w:gridCol w:w="38"/>
        <w:gridCol w:w="3289"/>
        <w:gridCol w:w="76"/>
        <w:gridCol w:w="3251"/>
        <w:gridCol w:w="114"/>
      </w:tblGrid>
      <w:tr w:rsidR="00D8429F" w:rsidTr="00D8429F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3365" w:type="dxa"/>
            <w:gridSpan w:val="2"/>
          </w:tcPr>
          <w:p w:rsidR="00D8429F" w:rsidRDefault="00D8429F" w:rsidP="00D842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  <w:r>
              <w:rPr>
                <w:b/>
                <w:bCs/>
                <w:sz w:val="23"/>
                <w:szCs w:val="23"/>
              </w:rPr>
              <w:t xml:space="preserve">Infection or complaint </w:t>
            </w:r>
          </w:p>
        </w:tc>
        <w:tc>
          <w:tcPr>
            <w:tcW w:w="3365" w:type="dxa"/>
            <w:gridSpan w:val="2"/>
          </w:tcPr>
          <w:p w:rsidR="00D8429F" w:rsidRDefault="00D8429F" w:rsidP="00D842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Recommended period to be kept away from school, nursery or childminders </w:t>
            </w:r>
          </w:p>
        </w:tc>
        <w:tc>
          <w:tcPr>
            <w:tcW w:w="3365" w:type="dxa"/>
            <w:gridSpan w:val="2"/>
          </w:tcPr>
          <w:p w:rsidR="00D8429F" w:rsidRDefault="00D8429F" w:rsidP="00D842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Comments </w:t>
            </w:r>
          </w:p>
        </w:tc>
      </w:tr>
      <w:tr w:rsidR="00D8429F" w:rsidTr="00D8429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365" w:type="dxa"/>
            <w:gridSpan w:val="2"/>
          </w:tcPr>
          <w:p w:rsidR="00D8429F" w:rsidRDefault="00D8429F" w:rsidP="00D842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Athlete’s foot </w:t>
            </w:r>
          </w:p>
        </w:tc>
        <w:tc>
          <w:tcPr>
            <w:tcW w:w="3365" w:type="dxa"/>
            <w:gridSpan w:val="2"/>
          </w:tcPr>
          <w:p w:rsidR="00D8429F" w:rsidRDefault="00D8429F" w:rsidP="00D842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None </w:t>
            </w:r>
          </w:p>
        </w:tc>
        <w:tc>
          <w:tcPr>
            <w:tcW w:w="3365" w:type="dxa"/>
            <w:gridSpan w:val="2"/>
          </w:tcPr>
          <w:p w:rsidR="00D8429F" w:rsidRDefault="00D8429F" w:rsidP="00D842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Athlete’s foot is not a serious condition. Treatment is recommended </w:t>
            </w:r>
          </w:p>
        </w:tc>
      </w:tr>
      <w:tr w:rsidR="00D8429F" w:rsidTr="00D8429F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3365" w:type="dxa"/>
            <w:gridSpan w:val="2"/>
          </w:tcPr>
          <w:p w:rsidR="00D8429F" w:rsidRDefault="00D8429F" w:rsidP="00D842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Chickenpox </w:t>
            </w:r>
          </w:p>
        </w:tc>
        <w:tc>
          <w:tcPr>
            <w:tcW w:w="3365" w:type="dxa"/>
            <w:gridSpan w:val="2"/>
          </w:tcPr>
          <w:p w:rsidR="00D8429F" w:rsidRDefault="00D8429F" w:rsidP="00D842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Until all vesicles have crusted over </w:t>
            </w:r>
          </w:p>
        </w:tc>
        <w:tc>
          <w:tcPr>
            <w:tcW w:w="3365" w:type="dxa"/>
            <w:gridSpan w:val="2"/>
          </w:tcPr>
          <w:p w:rsidR="00D8429F" w:rsidRDefault="00D8429F" w:rsidP="00D8429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See: Vulnerable Children and Female Staff – Pregnancy </w:t>
            </w:r>
          </w:p>
        </w:tc>
      </w:tr>
      <w:tr w:rsidR="00D8429F" w:rsidTr="00D8429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365" w:type="dxa"/>
            <w:gridSpan w:val="2"/>
          </w:tcPr>
          <w:p w:rsidR="00D8429F" w:rsidRDefault="00D8429F" w:rsidP="00D842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Cold sores, (Herpes simplex) </w:t>
            </w:r>
          </w:p>
        </w:tc>
        <w:tc>
          <w:tcPr>
            <w:tcW w:w="3365" w:type="dxa"/>
            <w:gridSpan w:val="2"/>
          </w:tcPr>
          <w:p w:rsidR="00D8429F" w:rsidRDefault="00D8429F" w:rsidP="00D842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None </w:t>
            </w:r>
          </w:p>
        </w:tc>
        <w:tc>
          <w:tcPr>
            <w:tcW w:w="3365" w:type="dxa"/>
            <w:gridSpan w:val="2"/>
          </w:tcPr>
          <w:p w:rsidR="00D8429F" w:rsidRDefault="00D8429F" w:rsidP="00D842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Avoid kissing and contact with the sores. Cold sores are generally mild and self-limiting </w:t>
            </w:r>
          </w:p>
        </w:tc>
      </w:tr>
      <w:tr w:rsidR="00D8429F" w:rsidTr="00D8429F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365" w:type="dxa"/>
            <w:gridSpan w:val="2"/>
          </w:tcPr>
          <w:p w:rsidR="00D8429F" w:rsidRDefault="00D8429F" w:rsidP="00D842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German measles (rubella)* </w:t>
            </w:r>
          </w:p>
        </w:tc>
        <w:tc>
          <w:tcPr>
            <w:tcW w:w="3365" w:type="dxa"/>
            <w:gridSpan w:val="2"/>
          </w:tcPr>
          <w:p w:rsidR="00D8429F" w:rsidRDefault="00D8429F" w:rsidP="00D842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Four days from onset of rash (as per “Green Book”) </w:t>
            </w:r>
          </w:p>
        </w:tc>
        <w:tc>
          <w:tcPr>
            <w:tcW w:w="3365" w:type="dxa"/>
            <w:gridSpan w:val="2"/>
          </w:tcPr>
          <w:p w:rsidR="00D8429F" w:rsidRDefault="00D8429F" w:rsidP="00D842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Preventable by immunisation (MMR x2 doses). </w:t>
            </w:r>
            <w:r>
              <w:rPr>
                <w:i/>
                <w:iCs/>
                <w:sz w:val="23"/>
                <w:szCs w:val="23"/>
              </w:rPr>
              <w:t xml:space="preserve">See: Female Staff – Pregnancy </w:t>
            </w:r>
          </w:p>
        </w:tc>
      </w:tr>
      <w:tr w:rsidR="00D8429F" w:rsidTr="00D8429F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3365" w:type="dxa"/>
            <w:gridSpan w:val="2"/>
          </w:tcPr>
          <w:p w:rsidR="00D8429F" w:rsidRDefault="00D8429F" w:rsidP="00D842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Hand, foot and mouth </w:t>
            </w:r>
          </w:p>
        </w:tc>
        <w:tc>
          <w:tcPr>
            <w:tcW w:w="3365" w:type="dxa"/>
            <w:gridSpan w:val="2"/>
          </w:tcPr>
          <w:p w:rsidR="00D8429F" w:rsidRDefault="00D8429F" w:rsidP="00D842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None </w:t>
            </w:r>
          </w:p>
        </w:tc>
        <w:tc>
          <w:tcPr>
            <w:tcW w:w="3365" w:type="dxa"/>
            <w:gridSpan w:val="2"/>
          </w:tcPr>
          <w:p w:rsidR="00D8429F" w:rsidRDefault="00D8429F" w:rsidP="00D842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Contact your local HPT if a large number of children are affected. Exclusion may be considered in some circumstances </w:t>
            </w:r>
          </w:p>
        </w:tc>
      </w:tr>
      <w:tr w:rsidR="00D8429F" w:rsidTr="00D8429F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3365" w:type="dxa"/>
            <w:gridSpan w:val="2"/>
          </w:tcPr>
          <w:p w:rsidR="00D8429F" w:rsidRDefault="00D8429F" w:rsidP="00D842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Impetigo </w:t>
            </w:r>
          </w:p>
        </w:tc>
        <w:tc>
          <w:tcPr>
            <w:tcW w:w="3365" w:type="dxa"/>
            <w:gridSpan w:val="2"/>
          </w:tcPr>
          <w:p w:rsidR="00D8429F" w:rsidRDefault="00D8429F" w:rsidP="00D842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Until lesions are crusted and healed, or 48 hours after starting antibiotic treatment </w:t>
            </w:r>
          </w:p>
        </w:tc>
        <w:tc>
          <w:tcPr>
            <w:tcW w:w="3365" w:type="dxa"/>
            <w:gridSpan w:val="2"/>
          </w:tcPr>
          <w:p w:rsidR="00D8429F" w:rsidRDefault="00D8429F" w:rsidP="00D842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Antibiotic treatment speeds healing and reduces the infectious period </w:t>
            </w:r>
          </w:p>
        </w:tc>
      </w:tr>
      <w:tr w:rsidR="00D8429F" w:rsidTr="00D8429F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365" w:type="dxa"/>
            <w:gridSpan w:val="2"/>
          </w:tcPr>
          <w:p w:rsidR="00D8429F" w:rsidRDefault="00D8429F" w:rsidP="00D842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Measles* </w:t>
            </w:r>
          </w:p>
        </w:tc>
        <w:tc>
          <w:tcPr>
            <w:tcW w:w="3365" w:type="dxa"/>
            <w:gridSpan w:val="2"/>
          </w:tcPr>
          <w:p w:rsidR="00D8429F" w:rsidRDefault="00D8429F" w:rsidP="00D842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Four days from onset of rash </w:t>
            </w:r>
          </w:p>
        </w:tc>
        <w:tc>
          <w:tcPr>
            <w:tcW w:w="3365" w:type="dxa"/>
            <w:gridSpan w:val="2"/>
          </w:tcPr>
          <w:p w:rsidR="00D8429F" w:rsidRDefault="00D8429F" w:rsidP="00D842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Preventable by vaccination (MMR x2). </w:t>
            </w:r>
            <w:r>
              <w:rPr>
                <w:i/>
                <w:iCs/>
                <w:sz w:val="23"/>
                <w:szCs w:val="23"/>
              </w:rPr>
              <w:t xml:space="preserve">See: Vulnerable Children and Female Staff – Pregnancy </w:t>
            </w:r>
          </w:p>
        </w:tc>
      </w:tr>
      <w:tr w:rsidR="00D8429F" w:rsidTr="00D8429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365" w:type="dxa"/>
            <w:gridSpan w:val="2"/>
          </w:tcPr>
          <w:p w:rsidR="00D8429F" w:rsidRDefault="00D8429F" w:rsidP="00D8429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Molluscum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contagiosum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365" w:type="dxa"/>
            <w:gridSpan w:val="2"/>
          </w:tcPr>
          <w:p w:rsidR="00D8429F" w:rsidRDefault="00D8429F" w:rsidP="00D842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None </w:t>
            </w:r>
          </w:p>
        </w:tc>
        <w:tc>
          <w:tcPr>
            <w:tcW w:w="3365" w:type="dxa"/>
            <w:gridSpan w:val="2"/>
          </w:tcPr>
          <w:p w:rsidR="00D8429F" w:rsidRDefault="00D8429F" w:rsidP="00D842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self-limiting condition </w:t>
            </w:r>
          </w:p>
        </w:tc>
      </w:tr>
      <w:tr w:rsidR="00D8429F" w:rsidTr="00D8429F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3365" w:type="dxa"/>
            <w:gridSpan w:val="2"/>
          </w:tcPr>
          <w:p w:rsidR="00D8429F" w:rsidRDefault="00D8429F" w:rsidP="00D842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Ringworm </w:t>
            </w:r>
          </w:p>
        </w:tc>
        <w:tc>
          <w:tcPr>
            <w:tcW w:w="3365" w:type="dxa"/>
            <w:gridSpan w:val="2"/>
          </w:tcPr>
          <w:p w:rsidR="00D8429F" w:rsidRDefault="00D8429F" w:rsidP="00D842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Exclusion not usually required </w:t>
            </w:r>
          </w:p>
        </w:tc>
        <w:tc>
          <w:tcPr>
            <w:tcW w:w="3365" w:type="dxa"/>
            <w:gridSpan w:val="2"/>
          </w:tcPr>
          <w:p w:rsidR="00D8429F" w:rsidRDefault="00D8429F" w:rsidP="00D842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Treatment is required </w:t>
            </w:r>
          </w:p>
        </w:tc>
      </w:tr>
      <w:tr w:rsidR="00D8429F" w:rsidTr="00D8429F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3365" w:type="dxa"/>
            <w:gridSpan w:val="2"/>
          </w:tcPr>
          <w:p w:rsidR="00D8429F" w:rsidRDefault="00D8429F" w:rsidP="00D8429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Roseola</w:t>
            </w:r>
            <w:proofErr w:type="spellEnd"/>
            <w:r>
              <w:rPr>
                <w:sz w:val="23"/>
                <w:szCs w:val="23"/>
              </w:rPr>
              <w:t xml:space="preserve"> (</w:t>
            </w:r>
            <w:proofErr w:type="spellStart"/>
            <w:r>
              <w:rPr>
                <w:sz w:val="23"/>
                <w:szCs w:val="23"/>
              </w:rPr>
              <w:t>infantum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3365" w:type="dxa"/>
            <w:gridSpan w:val="2"/>
          </w:tcPr>
          <w:p w:rsidR="00D8429F" w:rsidRDefault="00D8429F" w:rsidP="00D842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None </w:t>
            </w:r>
          </w:p>
        </w:tc>
        <w:tc>
          <w:tcPr>
            <w:tcW w:w="3365" w:type="dxa"/>
            <w:gridSpan w:val="2"/>
          </w:tcPr>
          <w:p w:rsidR="00D8429F" w:rsidRDefault="00D8429F" w:rsidP="00D842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None </w:t>
            </w:r>
          </w:p>
        </w:tc>
      </w:tr>
      <w:tr w:rsidR="00D8429F" w:rsidTr="00D8429F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3365" w:type="dxa"/>
            <w:gridSpan w:val="2"/>
          </w:tcPr>
          <w:p w:rsidR="00D8429F" w:rsidRDefault="00D8429F" w:rsidP="00D842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Scabies </w:t>
            </w:r>
          </w:p>
        </w:tc>
        <w:tc>
          <w:tcPr>
            <w:tcW w:w="3365" w:type="dxa"/>
            <w:gridSpan w:val="2"/>
          </w:tcPr>
          <w:p w:rsidR="00D8429F" w:rsidRDefault="00D8429F" w:rsidP="00D842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Child can return after first treatment </w:t>
            </w:r>
          </w:p>
        </w:tc>
        <w:tc>
          <w:tcPr>
            <w:tcW w:w="3365" w:type="dxa"/>
            <w:gridSpan w:val="2"/>
          </w:tcPr>
          <w:p w:rsidR="00D8429F" w:rsidRDefault="00D8429F" w:rsidP="00D842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Household and close contacts require treatment </w:t>
            </w:r>
          </w:p>
        </w:tc>
      </w:tr>
      <w:tr w:rsidR="00D8429F" w:rsidTr="00D8429F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3365" w:type="dxa"/>
            <w:gridSpan w:val="2"/>
          </w:tcPr>
          <w:p w:rsidR="00D8429F" w:rsidRPr="00D8429F" w:rsidRDefault="00D8429F" w:rsidP="00D8429F">
            <w:pPr>
              <w:pStyle w:val="Default"/>
              <w:rPr>
                <w:sz w:val="23"/>
                <w:szCs w:val="23"/>
              </w:rPr>
            </w:pPr>
            <w:r w:rsidRPr="00D8429F">
              <w:rPr>
                <w:sz w:val="23"/>
                <w:szCs w:val="23"/>
              </w:rPr>
              <w:t xml:space="preserve">Scarlet fever* </w:t>
            </w:r>
          </w:p>
        </w:tc>
        <w:tc>
          <w:tcPr>
            <w:tcW w:w="3365" w:type="dxa"/>
            <w:gridSpan w:val="2"/>
          </w:tcPr>
          <w:p w:rsidR="00D8429F" w:rsidRDefault="00D8429F" w:rsidP="00D842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Child can return 24 hours after starting appropriate antibiotic treatment </w:t>
            </w:r>
          </w:p>
        </w:tc>
        <w:tc>
          <w:tcPr>
            <w:tcW w:w="3365" w:type="dxa"/>
            <w:gridSpan w:val="2"/>
          </w:tcPr>
          <w:p w:rsidR="00D8429F" w:rsidRDefault="00D8429F" w:rsidP="00D842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Antibiotic treatment is recommended for the affected child </w:t>
            </w:r>
          </w:p>
        </w:tc>
      </w:tr>
      <w:tr w:rsidR="00D8429F" w:rsidTr="00D8429F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441"/>
        </w:trPr>
        <w:tc>
          <w:tcPr>
            <w:tcW w:w="3327" w:type="dxa"/>
          </w:tcPr>
          <w:p w:rsidR="00D8429F" w:rsidRPr="00D8429F" w:rsidRDefault="00D8429F" w:rsidP="00D8429F">
            <w:pPr>
              <w:pStyle w:val="Default"/>
              <w:rPr>
                <w:sz w:val="23"/>
                <w:szCs w:val="23"/>
              </w:rPr>
            </w:pPr>
            <w:r w:rsidRPr="00D8429F">
              <w:rPr>
                <w:sz w:val="23"/>
                <w:szCs w:val="23"/>
              </w:rPr>
              <w:t xml:space="preserve">Slapped cheek/fifth disease. Parvovirus B19 </w:t>
            </w:r>
          </w:p>
        </w:tc>
        <w:tc>
          <w:tcPr>
            <w:tcW w:w="3327" w:type="dxa"/>
            <w:gridSpan w:val="2"/>
          </w:tcPr>
          <w:p w:rsidR="00D8429F" w:rsidRDefault="00D8429F" w:rsidP="00D842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None (once rash has developed) </w:t>
            </w:r>
          </w:p>
        </w:tc>
        <w:tc>
          <w:tcPr>
            <w:tcW w:w="3327" w:type="dxa"/>
            <w:gridSpan w:val="2"/>
          </w:tcPr>
          <w:p w:rsidR="00D8429F" w:rsidRDefault="00D8429F" w:rsidP="00D8429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See: Vulnerable Children and Female Staff – Pregnancy </w:t>
            </w:r>
          </w:p>
        </w:tc>
      </w:tr>
      <w:tr w:rsidR="00D8429F" w:rsidTr="00D8429F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912"/>
        </w:trPr>
        <w:tc>
          <w:tcPr>
            <w:tcW w:w="3327" w:type="dxa"/>
          </w:tcPr>
          <w:p w:rsidR="00D8429F" w:rsidRPr="00D8429F" w:rsidRDefault="00D8429F" w:rsidP="00D8429F">
            <w:pPr>
              <w:pStyle w:val="Default"/>
              <w:rPr>
                <w:sz w:val="23"/>
                <w:szCs w:val="23"/>
              </w:rPr>
            </w:pPr>
          </w:p>
          <w:p w:rsidR="00D8429F" w:rsidRPr="00D8429F" w:rsidRDefault="00D8429F" w:rsidP="00D8429F">
            <w:pPr>
              <w:pStyle w:val="Default"/>
              <w:rPr>
                <w:sz w:val="23"/>
                <w:szCs w:val="23"/>
              </w:rPr>
            </w:pPr>
            <w:r w:rsidRPr="00D8429F">
              <w:rPr>
                <w:sz w:val="23"/>
                <w:szCs w:val="23"/>
              </w:rPr>
              <w:t xml:space="preserve">Shingles </w:t>
            </w:r>
          </w:p>
        </w:tc>
        <w:tc>
          <w:tcPr>
            <w:tcW w:w="3327" w:type="dxa"/>
            <w:gridSpan w:val="2"/>
          </w:tcPr>
          <w:p w:rsidR="00D8429F" w:rsidRDefault="00D8429F" w:rsidP="00D8429F">
            <w:pPr>
              <w:pStyle w:val="Default"/>
              <w:rPr>
                <w:sz w:val="23"/>
                <w:szCs w:val="23"/>
              </w:rPr>
            </w:pPr>
          </w:p>
          <w:p w:rsidR="00D8429F" w:rsidRDefault="00D8429F" w:rsidP="00D842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Exclude only if rash is weeping and cannot be covered </w:t>
            </w:r>
          </w:p>
        </w:tc>
        <w:tc>
          <w:tcPr>
            <w:tcW w:w="3327" w:type="dxa"/>
            <w:gridSpan w:val="2"/>
          </w:tcPr>
          <w:p w:rsidR="00D8429F" w:rsidRDefault="00D8429F" w:rsidP="00D842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Can cause chickenpox in those who are not immune, </w:t>
            </w:r>
            <w:proofErr w:type="spellStart"/>
            <w:r>
              <w:rPr>
                <w:sz w:val="23"/>
                <w:szCs w:val="23"/>
              </w:rPr>
              <w:t>ie</w:t>
            </w:r>
            <w:proofErr w:type="spellEnd"/>
            <w:r>
              <w:rPr>
                <w:sz w:val="23"/>
                <w:szCs w:val="23"/>
              </w:rPr>
              <w:t xml:space="preserve"> have not had chickenpox. It is spread by very close contact and touch. If further information is required, contact your local PHE centre. </w:t>
            </w:r>
            <w:r>
              <w:rPr>
                <w:i/>
                <w:iCs/>
                <w:sz w:val="23"/>
                <w:szCs w:val="23"/>
              </w:rPr>
              <w:t xml:space="preserve">See: Vulnerable Children and Female Staff – Pregnancy </w:t>
            </w:r>
          </w:p>
        </w:tc>
      </w:tr>
      <w:tr w:rsidR="00D8429F" w:rsidTr="00D8429F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trHeight w:val="272"/>
        </w:trPr>
        <w:tc>
          <w:tcPr>
            <w:tcW w:w="3327" w:type="dxa"/>
          </w:tcPr>
          <w:p w:rsidR="00D8429F" w:rsidRPr="00D8429F" w:rsidRDefault="00D8429F" w:rsidP="00D8429F">
            <w:pPr>
              <w:pStyle w:val="Default"/>
              <w:rPr>
                <w:sz w:val="23"/>
                <w:szCs w:val="23"/>
              </w:rPr>
            </w:pPr>
          </w:p>
          <w:p w:rsidR="00D8429F" w:rsidRPr="00D8429F" w:rsidRDefault="00D8429F" w:rsidP="00D8429F">
            <w:pPr>
              <w:pStyle w:val="Default"/>
              <w:rPr>
                <w:sz w:val="23"/>
                <w:szCs w:val="23"/>
              </w:rPr>
            </w:pPr>
            <w:r w:rsidRPr="00D8429F">
              <w:rPr>
                <w:sz w:val="23"/>
                <w:szCs w:val="23"/>
              </w:rPr>
              <w:t xml:space="preserve">Warts and </w:t>
            </w:r>
            <w:proofErr w:type="spellStart"/>
            <w:r w:rsidRPr="00D8429F">
              <w:rPr>
                <w:sz w:val="23"/>
                <w:szCs w:val="23"/>
              </w:rPr>
              <w:t>verrucae</w:t>
            </w:r>
            <w:proofErr w:type="spellEnd"/>
            <w:r w:rsidRPr="00D8429F">
              <w:rPr>
                <w:sz w:val="23"/>
                <w:szCs w:val="23"/>
              </w:rPr>
              <w:t xml:space="preserve"> </w:t>
            </w:r>
          </w:p>
        </w:tc>
        <w:tc>
          <w:tcPr>
            <w:tcW w:w="3327" w:type="dxa"/>
            <w:gridSpan w:val="2"/>
          </w:tcPr>
          <w:p w:rsidR="00D8429F" w:rsidRDefault="00D8429F" w:rsidP="00D8429F">
            <w:pPr>
              <w:pStyle w:val="Default"/>
              <w:rPr>
                <w:sz w:val="23"/>
                <w:szCs w:val="23"/>
              </w:rPr>
            </w:pPr>
          </w:p>
          <w:p w:rsidR="00D8429F" w:rsidRDefault="00D8429F" w:rsidP="00D842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None </w:t>
            </w:r>
          </w:p>
        </w:tc>
        <w:tc>
          <w:tcPr>
            <w:tcW w:w="3327" w:type="dxa"/>
            <w:gridSpan w:val="2"/>
          </w:tcPr>
          <w:p w:rsidR="00D8429F" w:rsidRDefault="00D8429F" w:rsidP="00D8429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Verrucae</w:t>
            </w:r>
            <w:proofErr w:type="spellEnd"/>
            <w:r>
              <w:rPr>
                <w:sz w:val="23"/>
                <w:szCs w:val="23"/>
              </w:rPr>
              <w:t xml:space="preserve"> should be covered in swimming pools, gymnasiums and changing rooms </w:t>
            </w:r>
          </w:p>
        </w:tc>
      </w:tr>
    </w:tbl>
    <w:p w:rsidR="00D8429F" w:rsidRDefault="00D8429F"/>
    <w:sectPr w:rsidR="00D8429F" w:rsidSect="00D8429F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429F"/>
    <w:rsid w:val="001B7E54"/>
    <w:rsid w:val="001D6D41"/>
    <w:rsid w:val="003C2875"/>
    <w:rsid w:val="003C65CD"/>
    <w:rsid w:val="00635EDE"/>
    <w:rsid w:val="0068003C"/>
    <w:rsid w:val="00D8429F"/>
    <w:rsid w:val="00F00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5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42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1797</Characters>
  <Application>Microsoft Office Word</Application>
  <DocSecurity>0</DocSecurity>
  <Lines>14</Lines>
  <Paragraphs>4</Paragraphs>
  <ScaleCrop>false</ScaleCrop>
  <Company> 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2015-09-13T17:54:00Z</dcterms:created>
  <dcterms:modified xsi:type="dcterms:W3CDTF">2015-09-13T18:00:00Z</dcterms:modified>
</cp:coreProperties>
</file>