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E7B" w:rsidRDefault="002A5305" w:rsidP="00D8429F">
      <w:pPr>
        <w:pStyle w:val="Default"/>
        <w:rPr>
          <w:sz w:val="48"/>
          <w:szCs w:val="48"/>
        </w:rPr>
      </w:pPr>
      <w:r>
        <w:rPr>
          <w:sz w:val="48"/>
          <w:szCs w:val="48"/>
        </w:rPr>
        <w:t>Other Infections</w:t>
      </w:r>
    </w:p>
    <w:tbl>
      <w:tblPr>
        <w:tblW w:w="1038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4111"/>
        <w:gridCol w:w="4571"/>
      </w:tblGrid>
      <w:tr w:rsidR="002A5305" w:rsidTr="002A5305">
        <w:tblPrEx>
          <w:tblCellMar>
            <w:top w:w="0" w:type="dxa"/>
            <w:bottom w:w="0" w:type="dxa"/>
          </w:tblCellMar>
        </w:tblPrEx>
        <w:trPr>
          <w:trHeight w:val="601"/>
        </w:trPr>
        <w:tc>
          <w:tcPr>
            <w:tcW w:w="1701" w:type="dxa"/>
          </w:tcPr>
          <w:p w:rsidR="002A5305" w:rsidRDefault="002A5305">
            <w:pPr>
              <w:pStyle w:val="Default"/>
              <w:rPr>
                <w:sz w:val="23"/>
                <w:szCs w:val="23"/>
              </w:rPr>
            </w:pPr>
            <w:r>
              <w:rPr>
                <w:b/>
                <w:bCs/>
                <w:sz w:val="23"/>
                <w:szCs w:val="23"/>
              </w:rPr>
              <w:t xml:space="preserve">Infection or complaint </w:t>
            </w:r>
          </w:p>
        </w:tc>
        <w:tc>
          <w:tcPr>
            <w:tcW w:w="4111" w:type="dxa"/>
          </w:tcPr>
          <w:p w:rsidR="002A5305" w:rsidRDefault="002A5305">
            <w:pPr>
              <w:pStyle w:val="Default"/>
              <w:rPr>
                <w:sz w:val="23"/>
                <w:szCs w:val="23"/>
              </w:rPr>
            </w:pPr>
            <w:r>
              <w:rPr>
                <w:b/>
                <w:bCs/>
                <w:sz w:val="23"/>
                <w:szCs w:val="23"/>
              </w:rPr>
              <w:t xml:space="preserve">Recommended period to be kept away from school, nursery or child minders </w:t>
            </w:r>
          </w:p>
        </w:tc>
        <w:tc>
          <w:tcPr>
            <w:tcW w:w="4571" w:type="dxa"/>
          </w:tcPr>
          <w:p w:rsidR="002A5305" w:rsidRDefault="002A5305">
            <w:pPr>
              <w:pStyle w:val="Default"/>
              <w:rPr>
                <w:sz w:val="23"/>
                <w:szCs w:val="23"/>
              </w:rPr>
            </w:pPr>
            <w:r>
              <w:rPr>
                <w:b/>
                <w:bCs/>
                <w:sz w:val="23"/>
                <w:szCs w:val="23"/>
              </w:rPr>
              <w:t xml:space="preserve">Comments </w:t>
            </w:r>
          </w:p>
        </w:tc>
      </w:tr>
      <w:tr w:rsidR="002A5305" w:rsidTr="002A5305">
        <w:tblPrEx>
          <w:tblCellMar>
            <w:top w:w="0" w:type="dxa"/>
            <w:bottom w:w="0" w:type="dxa"/>
          </w:tblCellMar>
        </w:tblPrEx>
        <w:trPr>
          <w:trHeight w:val="291"/>
        </w:trPr>
        <w:tc>
          <w:tcPr>
            <w:tcW w:w="1701" w:type="dxa"/>
          </w:tcPr>
          <w:p w:rsidR="002A5305" w:rsidRDefault="002A5305">
            <w:pPr>
              <w:pStyle w:val="Default"/>
              <w:rPr>
                <w:sz w:val="23"/>
                <w:szCs w:val="23"/>
              </w:rPr>
            </w:pPr>
            <w:r>
              <w:rPr>
                <w:sz w:val="23"/>
                <w:szCs w:val="23"/>
              </w:rPr>
              <w:t xml:space="preserve">Conjunctivitis </w:t>
            </w:r>
          </w:p>
        </w:tc>
        <w:tc>
          <w:tcPr>
            <w:tcW w:w="4111" w:type="dxa"/>
          </w:tcPr>
          <w:p w:rsidR="002A5305" w:rsidRDefault="002A5305">
            <w:pPr>
              <w:pStyle w:val="Default"/>
              <w:rPr>
                <w:sz w:val="23"/>
                <w:szCs w:val="23"/>
              </w:rPr>
            </w:pPr>
            <w:r>
              <w:rPr>
                <w:sz w:val="23"/>
                <w:szCs w:val="23"/>
              </w:rPr>
              <w:t xml:space="preserve">None </w:t>
            </w:r>
          </w:p>
        </w:tc>
        <w:tc>
          <w:tcPr>
            <w:tcW w:w="4571" w:type="dxa"/>
          </w:tcPr>
          <w:p w:rsidR="002A5305" w:rsidRDefault="002A5305">
            <w:pPr>
              <w:pStyle w:val="Default"/>
              <w:rPr>
                <w:sz w:val="23"/>
                <w:szCs w:val="23"/>
              </w:rPr>
            </w:pPr>
            <w:r>
              <w:rPr>
                <w:sz w:val="23"/>
                <w:szCs w:val="23"/>
              </w:rPr>
              <w:t xml:space="preserve">If an outbreak/cluster occurs, consult your local PHE centre </w:t>
            </w:r>
          </w:p>
        </w:tc>
      </w:tr>
      <w:tr w:rsidR="002A5305" w:rsidTr="002A5305">
        <w:tblPrEx>
          <w:tblCellMar>
            <w:top w:w="0" w:type="dxa"/>
            <w:bottom w:w="0" w:type="dxa"/>
          </w:tblCellMar>
        </w:tblPrEx>
        <w:trPr>
          <w:trHeight w:val="752"/>
        </w:trPr>
        <w:tc>
          <w:tcPr>
            <w:tcW w:w="1701" w:type="dxa"/>
          </w:tcPr>
          <w:p w:rsidR="002A5305" w:rsidRDefault="002A5305">
            <w:pPr>
              <w:pStyle w:val="Default"/>
              <w:rPr>
                <w:sz w:val="23"/>
                <w:szCs w:val="23"/>
              </w:rPr>
            </w:pPr>
            <w:r>
              <w:rPr>
                <w:sz w:val="23"/>
                <w:szCs w:val="23"/>
              </w:rPr>
              <w:t xml:space="preserve">Diphtheria * </w:t>
            </w:r>
          </w:p>
        </w:tc>
        <w:tc>
          <w:tcPr>
            <w:tcW w:w="4111" w:type="dxa"/>
          </w:tcPr>
          <w:p w:rsidR="002A5305" w:rsidRDefault="002A5305">
            <w:pPr>
              <w:pStyle w:val="Default"/>
              <w:rPr>
                <w:sz w:val="23"/>
                <w:szCs w:val="23"/>
              </w:rPr>
            </w:pPr>
            <w:r>
              <w:rPr>
                <w:sz w:val="23"/>
                <w:szCs w:val="23"/>
              </w:rPr>
              <w:t xml:space="preserve">Exclusion is essential. Always consult with your local HPT </w:t>
            </w:r>
          </w:p>
        </w:tc>
        <w:tc>
          <w:tcPr>
            <w:tcW w:w="4571" w:type="dxa"/>
          </w:tcPr>
          <w:p w:rsidR="002A5305" w:rsidRDefault="002A5305">
            <w:pPr>
              <w:pStyle w:val="Default"/>
              <w:rPr>
                <w:sz w:val="23"/>
                <w:szCs w:val="23"/>
              </w:rPr>
            </w:pPr>
            <w:r>
              <w:rPr>
                <w:sz w:val="23"/>
                <w:szCs w:val="23"/>
              </w:rPr>
              <w:t xml:space="preserve">Family contacts must be excluded until cleared to return by your local PHE centre. Preventable by vaccination. Your local PHE centre will organise any contact tracing necessary </w:t>
            </w:r>
          </w:p>
        </w:tc>
      </w:tr>
      <w:tr w:rsidR="002A5305" w:rsidTr="002A5305">
        <w:tblPrEx>
          <w:tblCellMar>
            <w:top w:w="0" w:type="dxa"/>
            <w:bottom w:w="0" w:type="dxa"/>
          </w:tblCellMar>
        </w:tblPrEx>
        <w:trPr>
          <w:trHeight w:val="112"/>
        </w:trPr>
        <w:tc>
          <w:tcPr>
            <w:tcW w:w="1701" w:type="dxa"/>
          </w:tcPr>
          <w:p w:rsidR="002A5305" w:rsidRDefault="002A5305">
            <w:pPr>
              <w:pStyle w:val="Default"/>
              <w:rPr>
                <w:sz w:val="23"/>
                <w:szCs w:val="23"/>
              </w:rPr>
            </w:pPr>
            <w:r>
              <w:rPr>
                <w:sz w:val="23"/>
                <w:szCs w:val="23"/>
              </w:rPr>
              <w:t xml:space="preserve">Glandular fever </w:t>
            </w:r>
          </w:p>
        </w:tc>
        <w:tc>
          <w:tcPr>
            <w:tcW w:w="4111" w:type="dxa"/>
          </w:tcPr>
          <w:p w:rsidR="002A5305" w:rsidRDefault="002A5305">
            <w:pPr>
              <w:pStyle w:val="Default"/>
              <w:rPr>
                <w:sz w:val="23"/>
                <w:szCs w:val="23"/>
              </w:rPr>
            </w:pPr>
            <w:r>
              <w:rPr>
                <w:sz w:val="23"/>
                <w:szCs w:val="23"/>
              </w:rPr>
              <w:t xml:space="preserve">None </w:t>
            </w:r>
          </w:p>
        </w:tc>
        <w:tc>
          <w:tcPr>
            <w:tcW w:w="4571" w:type="dxa"/>
          </w:tcPr>
          <w:p w:rsidR="002A5305" w:rsidRDefault="002A5305">
            <w:pPr>
              <w:pStyle w:val="Default"/>
              <w:rPr>
                <w:sz w:val="23"/>
                <w:szCs w:val="23"/>
              </w:rPr>
            </w:pPr>
          </w:p>
        </w:tc>
      </w:tr>
      <w:tr w:rsidR="002A5305" w:rsidTr="002A5305">
        <w:tblPrEx>
          <w:tblCellMar>
            <w:top w:w="0" w:type="dxa"/>
            <w:bottom w:w="0" w:type="dxa"/>
          </w:tblCellMar>
        </w:tblPrEx>
        <w:trPr>
          <w:trHeight w:val="279"/>
        </w:trPr>
        <w:tc>
          <w:tcPr>
            <w:tcW w:w="1701" w:type="dxa"/>
          </w:tcPr>
          <w:p w:rsidR="002A5305" w:rsidRDefault="002A5305">
            <w:pPr>
              <w:pStyle w:val="Default"/>
              <w:rPr>
                <w:sz w:val="23"/>
                <w:szCs w:val="23"/>
              </w:rPr>
            </w:pPr>
            <w:r>
              <w:rPr>
                <w:sz w:val="23"/>
                <w:szCs w:val="23"/>
              </w:rPr>
              <w:t xml:space="preserve">Head lice </w:t>
            </w:r>
          </w:p>
        </w:tc>
        <w:tc>
          <w:tcPr>
            <w:tcW w:w="4111" w:type="dxa"/>
          </w:tcPr>
          <w:p w:rsidR="002A5305" w:rsidRDefault="002A5305">
            <w:pPr>
              <w:pStyle w:val="Default"/>
              <w:rPr>
                <w:sz w:val="23"/>
                <w:szCs w:val="23"/>
              </w:rPr>
            </w:pPr>
            <w:r>
              <w:rPr>
                <w:sz w:val="23"/>
                <w:szCs w:val="23"/>
              </w:rPr>
              <w:t xml:space="preserve">None </w:t>
            </w:r>
          </w:p>
        </w:tc>
        <w:tc>
          <w:tcPr>
            <w:tcW w:w="4571" w:type="dxa"/>
          </w:tcPr>
          <w:p w:rsidR="002A5305" w:rsidRDefault="002A5305">
            <w:pPr>
              <w:pStyle w:val="Default"/>
              <w:rPr>
                <w:sz w:val="23"/>
                <w:szCs w:val="23"/>
              </w:rPr>
            </w:pPr>
            <w:r>
              <w:rPr>
                <w:sz w:val="23"/>
                <w:szCs w:val="23"/>
              </w:rPr>
              <w:t xml:space="preserve">Treatment is recommended only in cases where live lice have been seen </w:t>
            </w:r>
          </w:p>
        </w:tc>
      </w:tr>
      <w:tr w:rsidR="002A5305" w:rsidTr="002A5305">
        <w:tblPrEx>
          <w:tblCellMar>
            <w:top w:w="0" w:type="dxa"/>
            <w:bottom w:w="0" w:type="dxa"/>
          </w:tblCellMar>
        </w:tblPrEx>
        <w:trPr>
          <w:trHeight w:val="752"/>
        </w:trPr>
        <w:tc>
          <w:tcPr>
            <w:tcW w:w="1701" w:type="dxa"/>
          </w:tcPr>
          <w:p w:rsidR="002A5305" w:rsidRDefault="002A5305">
            <w:pPr>
              <w:pStyle w:val="Default"/>
              <w:rPr>
                <w:sz w:val="23"/>
                <w:szCs w:val="23"/>
              </w:rPr>
            </w:pPr>
            <w:r>
              <w:rPr>
                <w:sz w:val="23"/>
                <w:szCs w:val="23"/>
              </w:rPr>
              <w:t xml:space="preserve">Hepatitis A* </w:t>
            </w:r>
          </w:p>
        </w:tc>
        <w:tc>
          <w:tcPr>
            <w:tcW w:w="4111" w:type="dxa"/>
          </w:tcPr>
          <w:p w:rsidR="002A5305" w:rsidRDefault="002A5305">
            <w:pPr>
              <w:pStyle w:val="Default"/>
              <w:rPr>
                <w:sz w:val="23"/>
                <w:szCs w:val="23"/>
              </w:rPr>
            </w:pPr>
            <w:r>
              <w:rPr>
                <w:sz w:val="23"/>
                <w:szCs w:val="23"/>
              </w:rPr>
              <w:t xml:space="preserve">Exclude until seven days after onset of jaundice (or seven days after symptom onset if no jaundice) </w:t>
            </w:r>
          </w:p>
        </w:tc>
        <w:tc>
          <w:tcPr>
            <w:tcW w:w="4571" w:type="dxa"/>
          </w:tcPr>
          <w:p w:rsidR="002A5305" w:rsidRDefault="002A5305">
            <w:pPr>
              <w:pStyle w:val="Default"/>
              <w:rPr>
                <w:sz w:val="23"/>
                <w:szCs w:val="23"/>
              </w:rPr>
            </w:pPr>
            <w:r>
              <w:rPr>
                <w:sz w:val="23"/>
                <w:szCs w:val="23"/>
              </w:rPr>
              <w:t xml:space="preserve">In an outbreak of hepatitis A, your local PHE centre will advise on control measures </w:t>
            </w:r>
          </w:p>
        </w:tc>
      </w:tr>
      <w:tr w:rsidR="002A5305" w:rsidTr="002A5305">
        <w:tblPrEx>
          <w:tblCellMar>
            <w:top w:w="0" w:type="dxa"/>
            <w:bottom w:w="0" w:type="dxa"/>
          </w:tblCellMar>
        </w:tblPrEx>
        <w:trPr>
          <w:trHeight w:val="752"/>
        </w:trPr>
        <w:tc>
          <w:tcPr>
            <w:tcW w:w="1701" w:type="dxa"/>
            <w:tcBorders>
              <w:top w:val="single" w:sz="4" w:space="0" w:color="auto"/>
              <w:left w:val="single" w:sz="4" w:space="0" w:color="auto"/>
              <w:bottom w:val="single" w:sz="4" w:space="0" w:color="auto"/>
              <w:right w:val="single" w:sz="4" w:space="0" w:color="auto"/>
            </w:tcBorders>
          </w:tcPr>
          <w:p w:rsidR="002A5305" w:rsidRDefault="002A5305">
            <w:pPr>
              <w:pStyle w:val="Default"/>
              <w:rPr>
                <w:sz w:val="23"/>
                <w:szCs w:val="23"/>
              </w:rPr>
            </w:pPr>
            <w:r>
              <w:rPr>
                <w:sz w:val="23"/>
                <w:szCs w:val="23"/>
              </w:rPr>
              <w:t xml:space="preserve">Hepatitis B*, C*, HIV/AIDS </w:t>
            </w:r>
          </w:p>
        </w:tc>
        <w:tc>
          <w:tcPr>
            <w:tcW w:w="4111" w:type="dxa"/>
            <w:tcBorders>
              <w:top w:val="single" w:sz="4" w:space="0" w:color="auto"/>
              <w:left w:val="single" w:sz="4" w:space="0" w:color="auto"/>
              <w:bottom w:val="single" w:sz="4" w:space="0" w:color="auto"/>
              <w:right w:val="single" w:sz="4" w:space="0" w:color="auto"/>
            </w:tcBorders>
          </w:tcPr>
          <w:p w:rsidR="002A5305" w:rsidRDefault="002A5305">
            <w:pPr>
              <w:pStyle w:val="Default"/>
              <w:rPr>
                <w:sz w:val="23"/>
                <w:szCs w:val="23"/>
              </w:rPr>
            </w:pPr>
            <w:r>
              <w:rPr>
                <w:sz w:val="23"/>
                <w:szCs w:val="23"/>
              </w:rPr>
              <w:t xml:space="preserve">None </w:t>
            </w:r>
          </w:p>
        </w:tc>
        <w:tc>
          <w:tcPr>
            <w:tcW w:w="4571" w:type="dxa"/>
            <w:tcBorders>
              <w:top w:val="single" w:sz="4" w:space="0" w:color="auto"/>
              <w:left w:val="single" w:sz="4" w:space="0" w:color="auto"/>
              <w:bottom w:val="single" w:sz="4" w:space="0" w:color="auto"/>
              <w:right w:val="single" w:sz="4" w:space="0" w:color="auto"/>
            </w:tcBorders>
          </w:tcPr>
          <w:p w:rsidR="002A5305" w:rsidRDefault="002A5305">
            <w:pPr>
              <w:pStyle w:val="Default"/>
              <w:rPr>
                <w:sz w:val="23"/>
                <w:szCs w:val="23"/>
              </w:rPr>
            </w:pPr>
            <w:r>
              <w:rPr>
                <w:sz w:val="23"/>
                <w:szCs w:val="23"/>
              </w:rPr>
              <w:t xml:space="preserve">Hepatitis B and C and HIV are </w:t>
            </w:r>
            <w:proofErr w:type="spellStart"/>
            <w:r>
              <w:rPr>
                <w:sz w:val="23"/>
                <w:szCs w:val="23"/>
              </w:rPr>
              <w:t>bloodborne</w:t>
            </w:r>
            <w:proofErr w:type="spellEnd"/>
            <w:r>
              <w:rPr>
                <w:sz w:val="23"/>
                <w:szCs w:val="23"/>
              </w:rPr>
              <w:t xml:space="preserve"> viruses that are not infectious through casual contact. For cleaning of body fluid spills s</w:t>
            </w:r>
            <w:r w:rsidRPr="002A5305">
              <w:rPr>
                <w:sz w:val="23"/>
                <w:szCs w:val="23"/>
              </w:rPr>
              <w:t xml:space="preserve">ee: Good Hygiene Practice </w:t>
            </w:r>
          </w:p>
        </w:tc>
      </w:tr>
      <w:tr w:rsidR="002A5305" w:rsidTr="002A5305">
        <w:tblPrEx>
          <w:tblCellMar>
            <w:top w:w="0" w:type="dxa"/>
            <w:bottom w:w="0" w:type="dxa"/>
          </w:tblCellMar>
        </w:tblPrEx>
        <w:trPr>
          <w:trHeight w:val="752"/>
        </w:trPr>
        <w:tc>
          <w:tcPr>
            <w:tcW w:w="1701" w:type="dxa"/>
            <w:tcBorders>
              <w:top w:val="single" w:sz="4" w:space="0" w:color="auto"/>
              <w:left w:val="single" w:sz="4" w:space="0" w:color="auto"/>
              <w:bottom w:val="single" w:sz="4" w:space="0" w:color="auto"/>
              <w:right w:val="single" w:sz="4" w:space="0" w:color="auto"/>
            </w:tcBorders>
          </w:tcPr>
          <w:p w:rsidR="002A5305" w:rsidRDefault="002A5305">
            <w:pPr>
              <w:pStyle w:val="Default"/>
              <w:rPr>
                <w:sz w:val="23"/>
                <w:szCs w:val="23"/>
              </w:rPr>
            </w:pPr>
            <w:r>
              <w:rPr>
                <w:sz w:val="23"/>
                <w:szCs w:val="23"/>
              </w:rPr>
              <w:t xml:space="preserve">Meningococcal meningitis*/ septicaemia* </w:t>
            </w:r>
          </w:p>
        </w:tc>
        <w:tc>
          <w:tcPr>
            <w:tcW w:w="4111" w:type="dxa"/>
            <w:tcBorders>
              <w:top w:val="single" w:sz="4" w:space="0" w:color="auto"/>
              <w:left w:val="single" w:sz="4" w:space="0" w:color="auto"/>
              <w:bottom w:val="single" w:sz="4" w:space="0" w:color="auto"/>
              <w:right w:val="single" w:sz="4" w:space="0" w:color="auto"/>
            </w:tcBorders>
          </w:tcPr>
          <w:p w:rsidR="002A5305" w:rsidRDefault="002A5305">
            <w:pPr>
              <w:pStyle w:val="Default"/>
              <w:rPr>
                <w:sz w:val="23"/>
                <w:szCs w:val="23"/>
              </w:rPr>
            </w:pPr>
            <w:r>
              <w:rPr>
                <w:sz w:val="23"/>
                <w:szCs w:val="23"/>
              </w:rPr>
              <w:t xml:space="preserve">Until recovered </w:t>
            </w:r>
          </w:p>
        </w:tc>
        <w:tc>
          <w:tcPr>
            <w:tcW w:w="4571" w:type="dxa"/>
            <w:tcBorders>
              <w:top w:val="single" w:sz="4" w:space="0" w:color="auto"/>
              <w:left w:val="single" w:sz="4" w:space="0" w:color="auto"/>
              <w:bottom w:val="single" w:sz="4" w:space="0" w:color="auto"/>
              <w:right w:val="single" w:sz="4" w:space="0" w:color="auto"/>
            </w:tcBorders>
          </w:tcPr>
          <w:p w:rsidR="002A5305" w:rsidRDefault="002A5305">
            <w:pPr>
              <w:pStyle w:val="Default"/>
              <w:rPr>
                <w:sz w:val="23"/>
                <w:szCs w:val="23"/>
              </w:rPr>
            </w:pPr>
            <w:r>
              <w:rPr>
                <w:sz w:val="23"/>
                <w:szCs w:val="23"/>
              </w:rPr>
              <w:t xml:space="preserve">Meningitis C is preventable by vaccination </w:t>
            </w:r>
          </w:p>
          <w:p w:rsidR="002A5305" w:rsidRDefault="002A5305">
            <w:pPr>
              <w:pStyle w:val="Default"/>
              <w:rPr>
                <w:sz w:val="23"/>
                <w:szCs w:val="23"/>
              </w:rPr>
            </w:pPr>
            <w:r>
              <w:rPr>
                <w:sz w:val="23"/>
                <w:szCs w:val="23"/>
              </w:rPr>
              <w:t xml:space="preserve">There is no reason to exclude siblings or other close contacts of a case. In case of an outbreak, it may be necessary to provide antibiotics with or without meningococcal vaccination to close school contacts. Your local PHE centre will advise on any action is needed </w:t>
            </w:r>
          </w:p>
        </w:tc>
      </w:tr>
      <w:tr w:rsidR="002A5305" w:rsidTr="002A5305">
        <w:tblPrEx>
          <w:tblCellMar>
            <w:top w:w="0" w:type="dxa"/>
            <w:bottom w:w="0" w:type="dxa"/>
          </w:tblCellMar>
        </w:tblPrEx>
        <w:trPr>
          <w:trHeight w:val="752"/>
        </w:trPr>
        <w:tc>
          <w:tcPr>
            <w:tcW w:w="1701" w:type="dxa"/>
            <w:tcBorders>
              <w:top w:val="single" w:sz="4" w:space="0" w:color="auto"/>
              <w:left w:val="single" w:sz="4" w:space="0" w:color="auto"/>
              <w:bottom w:val="single" w:sz="4" w:space="0" w:color="auto"/>
              <w:right w:val="single" w:sz="4" w:space="0" w:color="auto"/>
            </w:tcBorders>
          </w:tcPr>
          <w:p w:rsidR="002A5305" w:rsidRDefault="002A5305">
            <w:pPr>
              <w:pStyle w:val="Default"/>
              <w:rPr>
                <w:sz w:val="23"/>
                <w:szCs w:val="23"/>
              </w:rPr>
            </w:pPr>
            <w:r>
              <w:rPr>
                <w:sz w:val="23"/>
                <w:szCs w:val="23"/>
              </w:rPr>
              <w:t xml:space="preserve">Meningitis* due to other bacteria </w:t>
            </w:r>
          </w:p>
        </w:tc>
        <w:tc>
          <w:tcPr>
            <w:tcW w:w="4111" w:type="dxa"/>
            <w:tcBorders>
              <w:top w:val="single" w:sz="4" w:space="0" w:color="auto"/>
              <w:left w:val="single" w:sz="4" w:space="0" w:color="auto"/>
              <w:bottom w:val="single" w:sz="4" w:space="0" w:color="auto"/>
              <w:right w:val="single" w:sz="4" w:space="0" w:color="auto"/>
            </w:tcBorders>
          </w:tcPr>
          <w:p w:rsidR="002A5305" w:rsidRDefault="002A5305">
            <w:pPr>
              <w:pStyle w:val="Default"/>
              <w:rPr>
                <w:sz w:val="23"/>
                <w:szCs w:val="23"/>
              </w:rPr>
            </w:pPr>
            <w:r>
              <w:rPr>
                <w:sz w:val="23"/>
                <w:szCs w:val="23"/>
              </w:rPr>
              <w:t xml:space="preserve">Until recovered </w:t>
            </w:r>
          </w:p>
        </w:tc>
        <w:tc>
          <w:tcPr>
            <w:tcW w:w="4571" w:type="dxa"/>
            <w:tcBorders>
              <w:top w:val="single" w:sz="4" w:space="0" w:color="auto"/>
              <w:left w:val="single" w:sz="4" w:space="0" w:color="auto"/>
              <w:bottom w:val="single" w:sz="4" w:space="0" w:color="auto"/>
              <w:right w:val="single" w:sz="4" w:space="0" w:color="auto"/>
            </w:tcBorders>
          </w:tcPr>
          <w:p w:rsidR="002A5305" w:rsidRDefault="002A5305">
            <w:pPr>
              <w:pStyle w:val="Default"/>
              <w:rPr>
                <w:sz w:val="23"/>
                <w:szCs w:val="23"/>
              </w:rPr>
            </w:pPr>
            <w:proofErr w:type="spellStart"/>
            <w:r>
              <w:rPr>
                <w:sz w:val="23"/>
                <w:szCs w:val="23"/>
              </w:rPr>
              <w:t>Hib</w:t>
            </w:r>
            <w:proofErr w:type="spellEnd"/>
            <w:r>
              <w:rPr>
                <w:sz w:val="23"/>
                <w:szCs w:val="23"/>
              </w:rPr>
              <w:t xml:space="preserve"> and pneumococcal meningitis are preventable by vaccination. There is no reason to exclude siblings or other close contacts of a case. Your local PHE centre will give advice on any action needed </w:t>
            </w:r>
          </w:p>
        </w:tc>
      </w:tr>
      <w:tr w:rsidR="002A5305" w:rsidTr="002A5305">
        <w:tblPrEx>
          <w:tblCellMar>
            <w:top w:w="0" w:type="dxa"/>
            <w:bottom w:w="0" w:type="dxa"/>
          </w:tblCellMar>
        </w:tblPrEx>
        <w:trPr>
          <w:trHeight w:val="752"/>
        </w:trPr>
        <w:tc>
          <w:tcPr>
            <w:tcW w:w="1701" w:type="dxa"/>
            <w:tcBorders>
              <w:top w:val="single" w:sz="4" w:space="0" w:color="auto"/>
              <w:left w:val="single" w:sz="4" w:space="0" w:color="auto"/>
              <w:bottom w:val="single" w:sz="4" w:space="0" w:color="auto"/>
              <w:right w:val="single" w:sz="4" w:space="0" w:color="auto"/>
            </w:tcBorders>
          </w:tcPr>
          <w:p w:rsidR="002A5305" w:rsidRDefault="002A5305">
            <w:pPr>
              <w:pStyle w:val="Default"/>
              <w:rPr>
                <w:sz w:val="23"/>
                <w:szCs w:val="23"/>
              </w:rPr>
            </w:pPr>
            <w:r>
              <w:rPr>
                <w:sz w:val="23"/>
                <w:szCs w:val="23"/>
              </w:rPr>
              <w:t xml:space="preserve">Meningitis viral* </w:t>
            </w:r>
          </w:p>
        </w:tc>
        <w:tc>
          <w:tcPr>
            <w:tcW w:w="4111" w:type="dxa"/>
            <w:tcBorders>
              <w:top w:val="single" w:sz="4" w:space="0" w:color="auto"/>
              <w:left w:val="single" w:sz="4" w:space="0" w:color="auto"/>
              <w:bottom w:val="single" w:sz="4" w:space="0" w:color="auto"/>
              <w:right w:val="single" w:sz="4" w:space="0" w:color="auto"/>
            </w:tcBorders>
          </w:tcPr>
          <w:p w:rsidR="002A5305" w:rsidRDefault="002A5305">
            <w:pPr>
              <w:pStyle w:val="Default"/>
              <w:rPr>
                <w:sz w:val="23"/>
                <w:szCs w:val="23"/>
              </w:rPr>
            </w:pPr>
            <w:r>
              <w:rPr>
                <w:sz w:val="23"/>
                <w:szCs w:val="23"/>
              </w:rPr>
              <w:t xml:space="preserve">None </w:t>
            </w:r>
          </w:p>
        </w:tc>
        <w:tc>
          <w:tcPr>
            <w:tcW w:w="4571" w:type="dxa"/>
            <w:tcBorders>
              <w:top w:val="single" w:sz="4" w:space="0" w:color="auto"/>
              <w:left w:val="single" w:sz="4" w:space="0" w:color="auto"/>
              <w:bottom w:val="single" w:sz="4" w:space="0" w:color="auto"/>
              <w:right w:val="single" w:sz="4" w:space="0" w:color="auto"/>
            </w:tcBorders>
          </w:tcPr>
          <w:p w:rsidR="002A5305" w:rsidRDefault="002A5305">
            <w:pPr>
              <w:pStyle w:val="Default"/>
              <w:rPr>
                <w:sz w:val="23"/>
                <w:szCs w:val="23"/>
              </w:rPr>
            </w:pPr>
            <w:r>
              <w:rPr>
                <w:sz w:val="23"/>
                <w:szCs w:val="23"/>
              </w:rPr>
              <w:t xml:space="preserve">Milder illness. There is no reason to exclude siblings and other close contacts of a case. Contact tracing is not required </w:t>
            </w:r>
          </w:p>
        </w:tc>
      </w:tr>
      <w:tr w:rsidR="002A5305" w:rsidTr="002A5305">
        <w:tblPrEx>
          <w:tblCellMar>
            <w:top w:w="0" w:type="dxa"/>
            <w:bottom w:w="0" w:type="dxa"/>
          </w:tblCellMar>
        </w:tblPrEx>
        <w:trPr>
          <w:trHeight w:val="752"/>
        </w:trPr>
        <w:tc>
          <w:tcPr>
            <w:tcW w:w="1701" w:type="dxa"/>
            <w:tcBorders>
              <w:top w:val="single" w:sz="4" w:space="0" w:color="auto"/>
              <w:left w:val="single" w:sz="4" w:space="0" w:color="auto"/>
              <w:bottom w:val="single" w:sz="4" w:space="0" w:color="auto"/>
              <w:right w:val="single" w:sz="4" w:space="0" w:color="auto"/>
            </w:tcBorders>
          </w:tcPr>
          <w:p w:rsidR="002A5305" w:rsidRDefault="002A5305">
            <w:pPr>
              <w:pStyle w:val="Default"/>
              <w:rPr>
                <w:sz w:val="23"/>
                <w:szCs w:val="23"/>
              </w:rPr>
            </w:pPr>
            <w:r>
              <w:rPr>
                <w:sz w:val="23"/>
                <w:szCs w:val="23"/>
              </w:rPr>
              <w:t xml:space="preserve">MRSA </w:t>
            </w:r>
          </w:p>
        </w:tc>
        <w:tc>
          <w:tcPr>
            <w:tcW w:w="4111" w:type="dxa"/>
            <w:tcBorders>
              <w:top w:val="single" w:sz="4" w:space="0" w:color="auto"/>
              <w:left w:val="single" w:sz="4" w:space="0" w:color="auto"/>
              <w:bottom w:val="single" w:sz="4" w:space="0" w:color="auto"/>
              <w:right w:val="single" w:sz="4" w:space="0" w:color="auto"/>
            </w:tcBorders>
          </w:tcPr>
          <w:p w:rsidR="002A5305" w:rsidRDefault="002A5305">
            <w:pPr>
              <w:pStyle w:val="Default"/>
              <w:rPr>
                <w:sz w:val="23"/>
                <w:szCs w:val="23"/>
              </w:rPr>
            </w:pPr>
            <w:r>
              <w:rPr>
                <w:sz w:val="23"/>
                <w:szCs w:val="23"/>
              </w:rPr>
              <w:t xml:space="preserve">None </w:t>
            </w:r>
          </w:p>
        </w:tc>
        <w:tc>
          <w:tcPr>
            <w:tcW w:w="4571" w:type="dxa"/>
            <w:tcBorders>
              <w:top w:val="single" w:sz="4" w:space="0" w:color="auto"/>
              <w:left w:val="single" w:sz="4" w:space="0" w:color="auto"/>
              <w:bottom w:val="single" w:sz="4" w:space="0" w:color="auto"/>
              <w:right w:val="single" w:sz="4" w:space="0" w:color="auto"/>
            </w:tcBorders>
          </w:tcPr>
          <w:p w:rsidR="002A5305" w:rsidRDefault="002A5305">
            <w:pPr>
              <w:pStyle w:val="Default"/>
              <w:rPr>
                <w:sz w:val="23"/>
                <w:szCs w:val="23"/>
              </w:rPr>
            </w:pPr>
            <w:r>
              <w:rPr>
                <w:sz w:val="23"/>
                <w:szCs w:val="23"/>
              </w:rPr>
              <w:t xml:space="preserve">Good hygiene, in particular </w:t>
            </w:r>
            <w:proofErr w:type="spellStart"/>
            <w:r>
              <w:rPr>
                <w:sz w:val="23"/>
                <w:szCs w:val="23"/>
              </w:rPr>
              <w:t>handwashing</w:t>
            </w:r>
            <w:proofErr w:type="spellEnd"/>
            <w:r>
              <w:rPr>
                <w:sz w:val="23"/>
                <w:szCs w:val="23"/>
              </w:rPr>
              <w:t xml:space="preserve"> and environmental cleaning, are important to minimise any danger of spread. If further information is required, contact your local PHE centre </w:t>
            </w:r>
          </w:p>
        </w:tc>
      </w:tr>
      <w:tr w:rsidR="002A5305" w:rsidTr="002A5305">
        <w:tblPrEx>
          <w:tblCellMar>
            <w:top w:w="0" w:type="dxa"/>
            <w:bottom w:w="0" w:type="dxa"/>
          </w:tblCellMar>
        </w:tblPrEx>
        <w:trPr>
          <w:trHeight w:val="752"/>
        </w:trPr>
        <w:tc>
          <w:tcPr>
            <w:tcW w:w="1701" w:type="dxa"/>
            <w:tcBorders>
              <w:top w:val="single" w:sz="4" w:space="0" w:color="auto"/>
              <w:left w:val="single" w:sz="4" w:space="0" w:color="auto"/>
              <w:bottom w:val="single" w:sz="4" w:space="0" w:color="auto"/>
              <w:right w:val="single" w:sz="4" w:space="0" w:color="auto"/>
            </w:tcBorders>
          </w:tcPr>
          <w:p w:rsidR="002A5305" w:rsidRDefault="002A5305">
            <w:pPr>
              <w:pStyle w:val="Default"/>
              <w:rPr>
                <w:sz w:val="23"/>
                <w:szCs w:val="23"/>
              </w:rPr>
            </w:pPr>
            <w:r>
              <w:rPr>
                <w:sz w:val="23"/>
                <w:szCs w:val="23"/>
              </w:rPr>
              <w:t xml:space="preserve">Mumps* </w:t>
            </w:r>
          </w:p>
        </w:tc>
        <w:tc>
          <w:tcPr>
            <w:tcW w:w="4111" w:type="dxa"/>
            <w:tcBorders>
              <w:top w:val="single" w:sz="4" w:space="0" w:color="auto"/>
              <w:left w:val="single" w:sz="4" w:space="0" w:color="auto"/>
              <w:bottom w:val="single" w:sz="4" w:space="0" w:color="auto"/>
              <w:right w:val="single" w:sz="4" w:space="0" w:color="auto"/>
            </w:tcBorders>
          </w:tcPr>
          <w:p w:rsidR="002A5305" w:rsidRDefault="002A5305">
            <w:pPr>
              <w:pStyle w:val="Default"/>
              <w:rPr>
                <w:sz w:val="23"/>
                <w:szCs w:val="23"/>
              </w:rPr>
            </w:pPr>
            <w:r>
              <w:rPr>
                <w:sz w:val="23"/>
                <w:szCs w:val="23"/>
              </w:rPr>
              <w:t xml:space="preserve">Exclude child for five days after onset of swelling </w:t>
            </w:r>
          </w:p>
        </w:tc>
        <w:tc>
          <w:tcPr>
            <w:tcW w:w="4571" w:type="dxa"/>
            <w:tcBorders>
              <w:top w:val="single" w:sz="4" w:space="0" w:color="auto"/>
              <w:left w:val="single" w:sz="4" w:space="0" w:color="auto"/>
              <w:bottom w:val="single" w:sz="4" w:space="0" w:color="auto"/>
              <w:right w:val="single" w:sz="4" w:space="0" w:color="auto"/>
            </w:tcBorders>
          </w:tcPr>
          <w:p w:rsidR="002A5305" w:rsidRDefault="002A5305">
            <w:pPr>
              <w:pStyle w:val="Default"/>
              <w:rPr>
                <w:sz w:val="23"/>
                <w:szCs w:val="23"/>
              </w:rPr>
            </w:pPr>
            <w:r>
              <w:rPr>
                <w:sz w:val="23"/>
                <w:szCs w:val="23"/>
              </w:rPr>
              <w:t xml:space="preserve">Preventable by vaccination (MMR x2 doses) </w:t>
            </w:r>
          </w:p>
        </w:tc>
      </w:tr>
      <w:tr w:rsidR="002A5305" w:rsidTr="002A5305">
        <w:tblPrEx>
          <w:tblCellMar>
            <w:top w:w="0" w:type="dxa"/>
            <w:bottom w:w="0" w:type="dxa"/>
          </w:tblCellMar>
        </w:tblPrEx>
        <w:trPr>
          <w:trHeight w:val="752"/>
        </w:trPr>
        <w:tc>
          <w:tcPr>
            <w:tcW w:w="1701" w:type="dxa"/>
            <w:tcBorders>
              <w:top w:val="single" w:sz="4" w:space="0" w:color="auto"/>
              <w:left w:val="single" w:sz="4" w:space="0" w:color="auto"/>
              <w:bottom w:val="single" w:sz="4" w:space="0" w:color="auto"/>
              <w:right w:val="single" w:sz="4" w:space="0" w:color="auto"/>
            </w:tcBorders>
          </w:tcPr>
          <w:p w:rsidR="002A5305" w:rsidRDefault="002A5305">
            <w:pPr>
              <w:pStyle w:val="Default"/>
              <w:rPr>
                <w:sz w:val="23"/>
                <w:szCs w:val="23"/>
              </w:rPr>
            </w:pPr>
            <w:r>
              <w:rPr>
                <w:sz w:val="23"/>
                <w:szCs w:val="23"/>
              </w:rPr>
              <w:t xml:space="preserve">Threadworms </w:t>
            </w:r>
          </w:p>
        </w:tc>
        <w:tc>
          <w:tcPr>
            <w:tcW w:w="4111" w:type="dxa"/>
            <w:tcBorders>
              <w:top w:val="single" w:sz="4" w:space="0" w:color="auto"/>
              <w:left w:val="single" w:sz="4" w:space="0" w:color="auto"/>
              <w:bottom w:val="single" w:sz="4" w:space="0" w:color="auto"/>
              <w:right w:val="single" w:sz="4" w:space="0" w:color="auto"/>
            </w:tcBorders>
          </w:tcPr>
          <w:p w:rsidR="002A5305" w:rsidRDefault="002A5305">
            <w:pPr>
              <w:pStyle w:val="Default"/>
              <w:rPr>
                <w:sz w:val="23"/>
                <w:szCs w:val="23"/>
              </w:rPr>
            </w:pPr>
            <w:r>
              <w:rPr>
                <w:sz w:val="23"/>
                <w:szCs w:val="23"/>
              </w:rPr>
              <w:t xml:space="preserve">None </w:t>
            </w:r>
          </w:p>
        </w:tc>
        <w:tc>
          <w:tcPr>
            <w:tcW w:w="4571" w:type="dxa"/>
            <w:tcBorders>
              <w:top w:val="single" w:sz="4" w:space="0" w:color="auto"/>
              <w:left w:val="single" w:sz="4" w:space="0" w:color="auto"/>
              <w:bottom w:val="single" w:sz="4" w:space="0" w:color="auto"/>
              <w:right w:val="single" w:sz="4" w:space="0" w:color="auto"/>
            </w:tcBorders>
          </w:tcPr>
          <w:p w:rsidR="002A5305" w:rsidRDefault="002A5305">
            <w:pPr>
              <w:pStyle w:val="Default"/>
              <w:rPr>
                <w:sz w:val="23"/>
                <w:szCs w:val="23"/>
              </w:rPr>
            </w:pPr>
            <w:r>
              <w:rPr>
                <w:sz w:val="23"/>
                <w:szCs w:val="23"/>
              </w:rPr>
              <w:t xml:space="preserve">Treatment is recommended for the child and household contacts </w:t>
            </w:r>
          </w:p>
        </w:tc>
      </w:tr>
      <w:tr w:rsidR="002A5305" w:rsidTr="002A5305">
        <w:tblPrEx>
          <w:tblCellMar>
            <w:top w:w="0" w:type="dxa"/>
            <w:bottom w:w="0" w:type="dxa"/>
          </w:tblCellMar>
        </w:tblPrEx>
        <w:trPr>
          <w:trHeight w:val="752"/>
        </w:trPr>
        <w:tc>
          <w:tcPr>
            <w:tcW w:w="1701" w:type="dxa"/>
            <w:tcBorders>
              <w:top w:val="single" w:sz="4" w:space="0" w:color="auto"/>
              <w:left w:val="single" w:sz="4" w:space="0" w:color="auto"/>
              <w:bottom w:val="single" w:sz="4" w:space="0" w:color="auto"/>
              <w:right w:val="single" w:sz="4" w:space="0" w:color="auto"/>
            </w:tcBorders>
          </w:tcPr>
          <w:p w:rsidR="002A5305" w:rsidRDefault="002A5305">
            <w:pPr>
              <w:pStyle w:val="Default"/>
              <w:rPr>
                <w:sz w:val="23"/>
                <w:szCs w:val="23"/>
              </w:rPr>
            </w:pPr>
            <w:r>
              <w:rPr>
                <w:sz w:val="23"/>
                <w:szCs w:val="23"/>
              </w:rPr>
              <w:t xml:space="preserve">Tonsillitis </w:t>
            </w:r>
          </w:p>
        </w:tc>
        <w:tc>
          <w:tcPr>
            <w:tcW w:w="4111" w:type="dxa"/>
            <w:tcBorders>
              <w:top w:val="single" w:sz="4" w:space="0" w:color="auto"/>
              <w:left w:val="single" w:sz="4" w:space="0" w:color="auto"/>
              <w:bottom w:val="single" w:sz="4" w:space="0" w:color="auto"/>
              <w:right w:val="single" w:sz="4" w:space="0" w:color="auto"/>
            </w:tcBorders>
          </w:tcPr>
          <w:p w:rsidR="002A5305" w:rsidRDefault="002A5305">
            <w:pPr>
              <w:pStyle w:val="Default"/>
              <w:rPr>
                <w:sz w:val="23"/>
                <w:szCs w:val="23"/>
              </w:rPr>
            </w:pPr>
            <w:r>
              <w:rPr>
                <w:sz w:val="23"/>
                <w:szCs w:val="23"/>
              </w:rPr>
              <w:t xml:space="preserve">None </w:t>
            </w:r>
          </w:p>
        </w:tc>
        <w:tc>
          <w:tcPr>
            <w:tcW w:w="4571" w:type="dxa"/>
            <w:tcBorders>
              <w:top w:val="single" w:sz="4" w:space="0" w:color="auto"/>
              <w:left w:val="single" w:sz="4" w:space="0" w:color="auto"/>
              <w:bottom w:val="single" w:sz="4" w:space="0" w:color="auto"/>
              <w:right w:val="single" w:sz="4" w:space="0" w:color="auto"/>
            </w:tcBorders>
          </w:tcPr>
          <w:p w:rsidR="002A5305" w:rsidRDefault="002A5305">
            <w:pPr>
              <w:pStyle w:val="Default"/>
              <w:rPr>
                <w:sz w:val="23"/>
                <w:szCs w:val="23"/>
              </w:rPr>
            </w:pPr>
            <w:r>
              <w:rPr>
                <w:sz w:val="23"/>
                <w:szCs w:val="23"/>
              </w:rPr>
              <w:t xml:space="preserve">There are many causes, but most cases are due to viruses and do not need an antibiotic </w:t>
            </w:r>
          </w:p>
        </w:tc>
      </w:tr>
    </w:tbl>
    <w:p w:rsidR="002A5305" w:rsidRDefault="002A5305" w:rsidP="00D8429F">
      <w:pPr>
        <w:pStyle w:val="Default"/>
        <w:rPr>
          <w:sz w:val="48"/>
          <w:szCs w:val="48"/>
        </w:rPr>
      </w:pPr>
    </w:p>
    <w:sectPr w:rsidR="002A5305" w:rsidSect="00D8429F">
      <w:pgSz w:w="11906" w:h="16838"/>
      <w:pgMar w:top="567"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429F"/>
    <w:rsid w:val="001B7E54"/>
    <w:rsid w:val="001D6D41"/>
    <w:rsid w:val="002A5305"/>
    <w:rsid w:val="003C2875"/>
    <w:rsid w:val="003C65CD"/>
    <w:rsid w:val="005634D3"/>
    <w:rsid w:val="005D2E7B"/>
    <w:rsid w:val="00635EDE"/>
    <w:rsid w:val="0068003C"/>
    <w:rsid w:val="00775AA6"/>
    <w:rsid w:val="008025A6"/>
    <w:rsid w:val="008E5575"/>
    <w:rsid w:val="00AC3326"/>
    <w:rsid w:val="00BE16DD"/>
    <w:rsid w:val="00D8429F"/>
    <w:rsid w:val="00F00E5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5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429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2015-09-13T18:07:00Z</dcterms:created>
  <dcterms:modified xsi:type="dcterms:W3CDTF">2015-09-13T18:11:00Z</dcterms:modified>
</cp:coreProperties>
</file>